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Концепции и модели риск- менеджмента</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«Концепции и модели риск-менеджмента»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«Концепции и модели риск-менеджмента».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«Концепции и модели риск-менеджмента»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поддержанию устойчивого функционирования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национальные и мировые стандарты,  лучшие практики, принципы и методы по обеспечению социальной ответственности,  устойчивого развития организации и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национальные и международные стандарты, лучшие практики, способы оценки эффективности процесса интегрированного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анализировать данные  по рискам и системе управления рисками, лучшие практики построения системы управления рисками в России и мире, тенденции риск- менеджмента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обеспечения соответствия системы управления рисками внешним требованиям и лучшим мировым практикам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665.7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оценивая их влияние на внешнее окружение планируемой деятельности и на взаимоотношения участников этой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«Концепции и модели риск-менеджмента» относится к обязательной части, является дисциплиной Блока Б1. «Дисциплины (модули)». Модуль "Разработка и управление интеграционной системой управления рисками"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страховании</w:t>
            </w:r>
          </w:p>
          <w:p>
            <w:pPr>
              <w:jc w:val="center"/>
              <w:spacing w:after="0" w:line="240" w:lineRule="auto"/>
              <w:rPr>
                <w:sz w:val="22"/>
                <w:szCs w:val="22"/>
              </w:rPr>
            </w:pPr>
            <w:r>
              <w:rPr>
                <w:rFonts w:ascii="Times New Roman" w:hAnsi="Times New Roman" w:cs="Times New Roman"/>
                <w:color w:val="#000000"/>
                <w:sz w:val="22"/>
                <w:szCs w:val="22"/>
              </w:rPr>
              <w:t> Маркетинг страховых услуг</w:t>
            </w:r>
          </w:p>
          <w:p>
            <w:pPr>
              <w:jc w:val="center"/>
              <w:spacing w:after="0" w:line="240" w:lineRule="auto"/>
              <w:rPr>
                <w:sz w:val="22"/>
                <w:szCs w:val="22"/>
              </w:rPr>
            </w:pPr>
            <w:r>
              <w:rPr>
                <w:rFonts w:ascii="Times New Roman" w:hAnsi="Times New Roman" w:cs="Times New Roman"/>
                <w:color w:val="#000000"/>
                <w:sz w:val="22"/>
                <w:szCs w:val="22"/>
              </w:rPr>
              <w:t> Нормативно-правовые и методические документы в области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Правовые основы риск-менеджмента</w:t>
            </w:r>
          </w:p>
          <w:p>
            <w:pPr>
              <w:jc w:val="center"/>
              <w:spacing w:after="0" w:line="240" w:lineRule="auto"/>
              <w:rPr>
                <w:sz w:val="22"/>
                <w:szCs w:val="22"/>
              </w:rPr>
            </w:pPr>
            <w:r>
              <w:rPr>
                <w:rFonts w:ascii="Times New Roman" w:hAnsi="Times New Roman" w:cs="Times New Roman"/>
                <w:color w:val="#000000"/>
                <w:sz w:val="22"/>
                <w:szCs w:val="22"/>
              </w:rPr>
              <w:t> Экономика страхования</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Страховое дело</w:t>
            </w:r>
          </w:p>
          <w:p>
            <w:pPr>
              <w:jc w:val="center"/>
              <w:spacing w:after="0" w:line="240" w:lineRule="auto"/>
              <w:rPr>
                <w:sz w:val="22"/>
                <w:szCs w:val="22"/>
              </w:rPr>
            </w:pPr>
            <w:r>
              <w:rPr>
                <w:rFonts w:ascii="Times New Roman" w:hAnsi="Times New Roman" w:cs="Times New Roman"/>
                <w:color w:val="#000000"/>
                <w:sz w:val="22"/>
                <w:szCs w:val="22"/>
              </w:rPr>
              <w:t> Страховое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риск-менеджмент</w:t>
            </w:r>
          </w:p>
          <w:p>
            <w:pPr>
              <w:jc w:val="center"/>
              <w:spacing w:after="0" w:line="240" w:lineRule="auto"/>
              <w:rPr>
                <w:sz w:val="22"/>
                <w:szCs w:val="22"/>
              </w:rPr>
            </w:pPr>
            <w:r>
              <w:rPr>
                <w:rFonts w:ascii="Times New Roman" w:hAnsi="Times New Roman" w:cs="Times New Roman"/>
                <w:color w:val="#000000"/>
                <w:sz w:val="22"/>
                <w:szCs w:val="22"/>
              </w:rPr>
              <w:t> Корпоративные системы риск-менеджмента</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управления рисками</w:t>
            </w:r>
          </w:p>
          <w:p>
            <w:pPr>
              <w:jc w:val="center"/>
              <w:spacing w:after="0" w:line="240" w:lineRule="auto"/>
              <w:rPr>
                <w:sz w:val="22"/>
                <w:szCs w:val="22"/>
              </w:rPr>
            </w:pPr>
            <w:r>
              <w:rPr>
                <w:rFonts w:ascii="Times New Roman" w:hAnsi="Times New Roman" w:cs="Times New Roman"/>
                <w:color w:val="#000000"/>
                <w:sz w:val="22"/>
                <w:szCs w:val="22"/>
              </w:rPr>
              <w:t> Стратегическая система управления рисками</w:t>
            </w:r>
          </w:p>
          <w:p>
            <w:pPr>
              <w:jc w:val="center"/>
              <w:spacing w:after="0" w:line="240" w:lineRule="auto"/>
              <w:rPr>
                <w:sz w:val="22"/>
                <w:szCs w:val="22"/>
              </w:rPr>
            </w:pPr>
            <w:r>
              <w:rPr>
                <w:rFonts w:ascii="Times New Roman" w:hAnsi="Times New Roman" w:cs="Times New Roman"/>
                <w:color w:val="#000000"/>
                <w:sz w:val="22"/>
                <w:szCs w:val="22"/>
              </w:rPr>
              <w:t> Финансовая среда и предпринимательские риски</w:t>
            </w:r>
          </w:p>
          <w:p>
            <w:pPr>
              <w:jc w:val="center"/>
              <w:spacing w:after="0" w:line="240" w:lineRule="auto"/>
              <w:rPr>
                <w:sz w:val="22"/>
                <w:szCs w:val="22"/>
              </w:rPr>
            </w:pPr>
            <w:r>
              <w:rPr>
                <w:rFonts w:ascii="Times New Roman" w:hAnsi="Times New Roman" w:cs="Times New Roman"/>
                <w:color w:val="#000000"/>
                <w:sz w:val="22"/>
                <w:szCs w:val="22"/>
              </w:rPr>
              <w:t> Эффективность риск-менеджмента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1.Особенности выбора модели риск- менеджмета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2.Организация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3.Оценка рисков Понятие идентификации. Содержание идентификации и анализа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4.Управление рисками. Понятие управления рисками. Цели и задачи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 Концепции и модели риск-именеджмента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2:Организация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показателей оценки рисков. Абсолютные и относительные показатели оценки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361.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1.Особенности выбора модели риск-менеджмета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выборе показателя уровня риска следует руководствоваться тем, что он должен быть соизмерим со степенью сложности риска и предполагаемому использованию. Важным является также доступность и своевременность показателя риска. Прогностические комплексные модели не всегда эффективны из-за длительности обработки данных. При использовании сложных моделей существует значительный риск моделирования. Этот риск связан с операциями ввода первичных данных о рисках, с допущениями, закладываемыми в модель, и касающимися внешних воздействий, с использованием методологии моделирования по отношению к изменяющимся условиям. Очень часто в риск-менеджменте более эффективными оказываются простые индикативные показатели, которые гораздо проще уточнить и проверить, которые можно использовать практически в режиме реального времени.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2.Организация риск-менеджмента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Внедрение системы риск-менеджмента в практику предприятий позволяет обеспечивать стабильность их развития, повышать обоснованность принятия решений в рискованной ситуации, улучшать финансовое положение за счет реализации всех видов деятельности в контролируемых условиях.</w:t>
            </w:r>
          </w:p>
          <w:p>
            <w:pPr>
              <w:jc w:val="both"/>
              <w:spacing w:after="0" w:line="240" w:lineRule="auto"/>
              <w:rPr>
                <w:sz w:val="24"/>
                <w:szCs w:val="24"/>
              </w:rPr>
            </w:pPr>
            <w:r>
              <w:rPr>
                <w:rFonts w:ascii="Times New Roman" w:hAnsi="Times New Roman" w:cs="Times New Roman"/>
                <w:color w:val="#000000"/>
                <w:sz w:val="24"/>
                <w:szCs w:val="24"/>
              </w:rPr>
              <w:t> Большинство предприятий при реализации бизнес-процессов сталкиваются систематически с необходимостью управлять разными типами рисков. Именно поэтому высшее руководство фирмы должно добиваться того, чтобы необходимость риск- менеджмента признавалась всем персоналом организации в качестве фактора первостепенной важности.Под управлением рисками подразумевается осуществление тщательного анализа условий с целью принятия решений. Управление рисками является логическим и систематическим процессом, который можно использовать для выбора путей совершенствования деятельности в дальнейшем, роста эффективности бизнес- процессов организации.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3.Оценка рисков Понятие идентификации. Содержание идентификации и анализа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Качественный и количественный анализ. Этапы идентификации и анализа рисков. Методы идентификации рисков. Моделирование ситуации. Фундаментальный и технический анализ. Идентификация поведенческого риска. Информационное обеспечение системы управления риском: принципы, внутренние и внешние источники информации. Информационная система. Методы оценки рисков. Потери и зоны рисков. Математические модели рисков. Система показателей оценки рисков. Абсолютные и относительные показатели оценки рисков. Вероятностные и статистические показатели оценки рисков. Экспертные оценки рисков. Концепция приемлемого риска. Пороговые значения риска. Рисковый капитал</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4.Управление рисками. Понятие управления рисками. Цели и задачи системы управления рисками.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риском как часть общего менеджмента фирмы. Система управления рисками. Свойства системы управления рисками. Ограничения системы управления риском. Методы трансформации рисков и их особенности. Метод отказа от риска. Метод снижения частоты ущерба или предотвращения убытка. Метод уменьшения размера убытков. Метод разделения риска. Метод аутсорсинга риска. Метод покрытия убытка из текущего дохода. Метод покрытия убытков из резервов. Метод покрытия убытка на основе страхования и самострахования. Метод покрытия убытка на основе нестрахового пула. Метод покрытия убытка за счет передачи ответственности. Метод покрытия убытка на основе поддержки государственных органов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 Концепции и модели риск-именеджмента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2:Организация риск-менеджмента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Подразделения отвечающие за проведение риск-менеджмента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показателей оценки рисков. Абсолютные и относительные показатели оценки рисков.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системы управления рисками.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«Концепции и модели риск-менеджмента» / Долженко С.П..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Марченко,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978-5-9275-3124-0.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http://www.iprbookshop.ru/95769.html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978-5-906846-47-1.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http://www.iprbookshop.ru/98124.html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результативностью:</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действии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Майкл,</w:t>
            </w:r>
            <w:r>
              <w:rPr/>
              <w:t xml:space="preserve"> </w:t>
            </w:r>
            <w:r>
              <w:rPr>
                <w:rFonts w:ascii="Times New Roman" w:hAnsi="Times New Roman" w:cs="Times New Roman"/>
                <w:color w:val="#000000"/>
                <w:sz w:val="24"/>
                <w:szCs w:val="24"/>
              </w:rPr>
              <w:t>Армстронг,</w:t>
            </w:r>
            <w:r>
              <w:rPr/>
              <w:t xml:space="preserve"> </w:t>
            </w:r>
            <w:r>
              <w:rPr>
                <w:rFonts w:ascii="Times New Roman" w:hAnsi="Times New Roman" w:cs="Times New Roman"/>
                <w:color w:val="#000000"/>
                <w:sz w:val="24"/>
                <w:szCs w:val="24"/>
              </w:rPr>
              <w:t>Анжела,</w:t>
            </w:r>
            <w:r>
              <w:rPr/>
              <w:t xml:space="preserve"> </w:t>
            </w:r>
            <w:r>
              <w:rPr>
                <w:rFonts w:ascii="Times New Roman" w:hAnsi="Times New Roman" w:cs="Times New Roman"/>
                <w:color w:val="#000000"/>
                <w:sz w:val="24"/>
                <w:szCs w:val="24"/>
              </w:rPr>
              <w:t>Бэрон,</w:t>
            </w:r>
            <w:r>
              <w:rPr/>
              <w:t xml:space="preserve"> </w:t>
            </w:r>
            <w:r>
              <w:rPr>
                <w:rFonts w:ascii="Times New Roman" w:hAnsi="Times New Roman" w:cs="Times New Roman"/>
                <w:color w:val="#000000"/>
                <w:sz w:val="24"/>
                <w:szCs w:val="24"/>
              </w:rPr>
              <w:t>Новицкая,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Кияченко,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Турко,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Брандес,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результативностью:</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действии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978-5-9614-4781-1.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http://www.iprbookshop.ru/93037.html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Свистунов,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978-5-4497-0608-9.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http://www.iprbookshop.ru/96561.html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48.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4.18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2023-2024_ФГОС3++2023_Маг-ОФО-Э(КУРиС)(23)_plx_Концепции и модели риск-менеджмента</dc:title>
  <dc:creator>FastReport.NET</dc:creator>
</cp:coreProperties>
</file>